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#100bis-e</w:t>
      </w:r>
      <w:r>
        <w:rPr>
          <w:rFonts w:ascii="Arial" w:hAnsi="Arial" w:cs="Arial"/>
          <w:b/>
          <w:sz w:val="22"/>
          <w:szCs w:val="22"/>
        </w:rPr>
        <w:tab/>
      </w:r>
      <w:r>
        <w:rPr>
          <w:rFonts w:ascii="Arial" w:hAnsi="Arial" w:cs="Arial"/>
          <w:b/>
          <w:sz w:val="22"/>
          <w:szCs w:val="22"/>
        </w:rPr>
        <w:t>R1-2001634</w:t>
      </w:r>
    </w:p>
    <w:p>
      <w:pPr>
        <w:tabs>
          <w:tab w:val="right" w:pos="9630"/>
        </w:tabs>
        <w:spacing w:after="0"/>
        <w:rPr>
          <w:rFonts w:ascii="Arial" w:hAnsi="Arial" w:cs="Arial"/>
          <w:b/>
          <w:sz w:val="22"/>
          <w:szCs w:val="22"/>
        </w:rPr>
      </w:pPr>
      <w:r>
        <w:rPr>
          <w:rFonts w:ascii="Arial" w:hAnsi="Arial" w:cs="Arial"/>
          <w:b/>
          <w:sz w:val="22"/>
          <w:szCs w:val="22"/>
          <w:lang w:eastAsia="zh-CN"/>
        </w:rPr>
        <w:t>e-Meeting, April 20th – 30th, 2020</w:t>
      </w:r>
      <w:r>
        <w:rPr>
          <w:rFonts w:ascii="Arial" w:hAnsi="Arial" w:cs="Arial"/>
          <w:b/>
          <w:sz w:val="22"/>
          <w:szCs w:val="22"/>
        </w:rPr>
        <w:tab/>
      </w:r>
    </w:p>
    <w:p>
      <w:pPr>
        <w:pStyle w:val="38"/>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b/>
        </w:rPr>
        <w:t>Remaining issues on Rel-16 NR UE Feature</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rPr>
        <w:t>7.2.11.13</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lang w:val="en-GB" w:eastAsia="zh-CN"/>
        </w:rPr>
      </w:pPr>
      <w:r>
        <w:rPr>
          <w:lang w:val="en-GB" w:eastAsia="zh-CN"/>
        </w:rPr>
        <w:t xml:space="preserve">To make sure timely ASN.1 frozen, the first priority for RAN1/RAN2/RAN4 of Q2 is UE feature finalization. During RAN#87-e, an informative summary was made to guide RAN1 UE feature discussion </w:t>
      </w:r>
      <w:r>
        <w:rPr>
          <w:lang w:val="en-GB" w:eastAsia="zh-CN"/>
        </w:rPr>
        <w:fldChar w:fldCharType="begin"/>
      </w:r>
      <w:r>
        <w:rPr>
          <w:lang w:val="en-GB" w:eastAsia="zh-CN"/>
        </w:rPr>
        <w:instrText xml:space="preserve"> REF _Ref36651229 \r \h </w:instrText>
      </w:r>
      <w:r>
        <w:rPr>
          <w:lang w:val="en-GB" w:eastAsia="zh-CN"/>
        </w:rPr>
        <w:fldChar w:fldCharType="separate"/>
      </w:r>
      <w:r>
        <w:rPr>
          <w:lang w:val="en-GB" w:eastAsia="zh-CN"/>
        </w:rPr>
        <w:t>[1]</w:t>
      </w:r>
      <w:r>
        <w:rPr>
          <w:lang w:val="en-GB" w:eastAsia="zh-CN"/>
        </w:rPr>
        <w:fldChar w:fldCharType="end"/>
      </w:r>
      <w:r>
        <w:rPr>
          <w:lang w:val="en-GB" w:eastAsia="zh-CN"/>
        </w:rPr>
        <w:t xml:space="preserve">. In this contribution, we provides our views on </w:t>
      </w:r>
      <w:r>
        <w:rPr>
          <w:rFonts w:hint="eastAsia"/>
          <w:lang w:val="en-GB" w:eastAsia="zh-CN"/>
        </w:rPr>
        <w:t>prin</w:t>
      </w:r>
      <w:r>
        <w:rPr>
          <w:lang w:val="en-GB" w:eastAsia="zh-CN"/>
        </w:rPr>
        <w:t>ciple of UE feature group, XDD/FRX differentiation and cross-WI issues.</w:t>
      </w:r>
    </w:p>
    <w:p>
      <w:pPr>
        <w:pStyle w:val="2"/>
        <w:rPr>
          <w:lang w:eastAsia="zh-CN"/>
        </w:rPr>
      </w:pPr>
      <w:r>
        <w:rPr>
          <w:lang w:eastAsia="zh-CN"/>
        </w:rPr>
        <w:t>Discussion</w:t>
      </w:r>
    </w:p>
    <w:p>
      <w:pPr>
        <w:pStyle w:val="3"/>
        <w:rPr>
          <w:lang w:eastAsia="zh-CN"/>
        </w:rPr>
      </w:pPr>
      <w:r>
        <w:rPr>
          <w:lang w:eastAsia="zh-CN"/>
        </w:rPr>
        <w:t>Principles of UE feature group</w:t>
      </w:r>
    </w:p>
    <w:p>
      <w:pPr>
        <w:rPr>
          <w:lang w:val="en-GB" w:eastAsia="zh-CN"/>
        </w:rPr>
      </w:pPr>
      <w:r>
        <w:rPr>
          <w:lang w:val="en-GB" w:eastAsia="zh-CN"/>
        </w:rPr>
        <w:t xml:space="preserve">During RAN#87-e, an email discussion was organized to collect companies’ views and provide the informational summary </w:t>
      </w:r>
      <w:r>
        <w:rPr>
          <w:lang w:val="en-GB" w:eastAsia="zh-CN"/>
        </w:rPr>
        <w:fldChar w:fldCharType="begin"/>
      </w:r>
      <w:r>
        <w:rPr>
          <w:lang w:val="en-GB" w:eastAsia="zh-CN"/>
        </w:rPr>
        <w:instrText xml:space="preserve"> REF _Ref36651229 \r \h </w:instrText>
      </w:r>
      <w:r>
        <w:rPr>
          <w:lang w:val="en-GB" w:eastAsia="zh-CN"/>
        </w:rPr>
        <w:fldChar w:fldCharType="separate"/>
      </w:r>
      <w:r>
        <w:rPr>
          <w:lang w:val="en-GB" w:eastAsia="zh-CN"/>
        </w:rPr>
        <w:t>[1]</w:t>
      </w:r>
      <w:r>
        <w:rPr>
          <w:lang w:val="en-GB" w:eastAsia="zh-CN"/>
        </w:rPr>
        <w:fldChar w:fldCharType="end"/>
      </w:r>
      <w:r>
        <w:rPr>
          <w:lang w:val="en-GB" w:eastAsia="zh-CN"/>
        </w:rPr>
        <w:t>. Overall, companies view that it is beneficial to provide basic UE feature group for some of the WIs, e.g., NR-U and V2X, but not for all the WIs.</w:t>
      </w:r>
    </w:p>
    <w:tbl>
      <w:tblPr>
        <w:tblStyle w:val="59"/>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8" w:type="dxa"/>
          </w:tcPr>
          <w:p>
            <w:pPr>
              <w:numPr>
                <w:ilvl w:val="0"/>
                <w:numId w:val="9"/>
              </w:numPr>
              <w:overflowPunct/>
              <w:autoSpaceDE/>
              <w:autoSpaceDN/>
              <w:adjustRightInd/>
              <w:spacing w:before="120" w:after="120" w:afterLines="50" w:line="280" w:lineRule="atLeast"/>
              <w:textAlignment w:val="auto"/>
              <w:rPr>
                <w:rFonts w:ascii="New York" w:hAnsi="New York"/>
                <w:sz w:val="21"/>
              </w:rPr>
            </w:pPr>
            <w:r>
              <w:rPr>
                <w:rFonts w:hint="eastAsia" w:ascii="New York" w:hAnsi="New York"/>
                <w:sz w:val="21"/>
              </w:rPr>
              <w:t>Terminology definitions based on Rel-15 (TR38.822)</w:t>
            </w:r>
          </w:p>
          <w:p>
            <w:pPr>
              <w:numPr>
                <w:ilvl w:val="1"/>
                <w:numId w:val="9"/>
              </w:numPr>
              <w:overflowPunct/>
              <w:autoSpaceDE/>
              <w:autoSpaceDN/>
              <w:adjustRightInd/>
              <w:spacing w:before="120" w:after="120" w:afterLines="50" w:line="280" w:lineRule="atLeast"/>
              <w:textAlignment w:val="auto"/>
              <w:rPr>
                <w:rFonts w:ascii="New York" w:hAnsi="New York"/>
                <w:sz w:val="21"/>
              </w:rPr>
            </w:pPr>
            <w:r>
              <w:rPr>
                <w:rFonts w:hint="eastAsia" w:ascii="New York" w:hAnsi="New York"/>
                <w:sz w:val="21"/>
              </w:rPr>
              <w:t>“Feature(s)”: It is a highest level grouping. In Rel-16, it is per-WI grouping.</w:t>
            </w:r>
          </w:p>
          <w:p>
            <w:pPr>
              <w:numPr>
                <w:ilvl w:val="1"/>
                <w:numId w:val="9"/>
              </w:numPr>
              <w:overflowPunct/>
              <w:autoSpaceDE/>
              <w:autoSpaceDN/>
              <w:adjustRightInd/>
              <w:spacing w:before="120" w:after="120" w:afterLines="50" w:line="280" w:lineRule="atLeast"/>
              <w:textAlignment w:val="auto"/>
              <w:rPr>
                <w:rFonts w:ascii="New York" w:hAnsi="New York"/>
                <w:sz w:val="21"/>
              </w:rPr>
            </w:pPr>
            <w:r>
              <w:rPr>
                <w:rFonts w:hint="eastAsia" w:ascii="New York" w:hAnsi="New York"/>
                <w:sz w:val="21"/>
              </w:rPr>
              <w:t xml:space="preserve">“Feature group(s)”: It is a kind of “subfeature(s)” within a “feature”, and is defined by each row in the UE features list. </w:t>
            </w:r>
          </w:p>
          <w:p>
            <w:pPr>
              <w:numPr>
                <w:ilvl w:val="1"/>
                <w:numId w:val="9"/>
              </w:numPr>
              <w:overflowPunct/>
              <w:autoSpaceDE/>
              <w:autoSpaceDN/>
              <w:adjustRightInd/>
              <w:spacing w:before="120" w:after="120" w:afterLines="50" w:line="280" w:lineRule="atLeast"/>
              <w:textAlignment w:val="auto"/>
              <w:rPr>
                <w:rFonts w:ascii="New York" w:hAnsi="New York"/>
                <w:sz w:val="21"/>
              </w:rPr>
            </w:pPr>
            <w:r>
              <w:rPr>
                <w:rFonts w:hint="eastAsia" w:ascii="New York" w:hAnsi="New York"/>
                <w:sz w:val="21"/>
              </w:rPr>
              <w:t>“Component(s)”: One feature group contains one or multiple components. When UE reports support of the feature group, basically it is applied to all components in the feature group.</w:t>
            </w:r>
          </w:p>
          <w:p>
            <w:pPr>
              <w:numPr>
                <w:ilvl w:val="0"/>
                <w:numId w:val="9"/>
              </w:numPr>
              <w:overflowPunct/>
              <w:autoSpaceDE/>
              <w:autoSpaceDN/>
              <w:adjustRightInd/>
              <w:spacing w:before="120" w:after="120" w:afterLines="50" w:line="280" w:lineRule="atLeast"/>
              <w:textAlignment w:val="auto"/>
              <w:rPr>
                <w:rFonts w:ascii="New York" w:hAnsi="New York"/>
                <w:sz w:val="21"/>
              </w:rPr>
            </w:pPr>
            <w:r>
              <w:rPr>
                <w:rFonts w:hint="eastAsia" w:ascii="New York" w:hAnsi="New York"/>
                <w:sz w:val="21"/>
              </w:rPr>
              <w:t xml:space="preserve">In case that a set of feature groups/components is necessary to be supported by UE (and NW) for a certain purpose, </w:t>
            </w:r>
          </w:p>
          <w:p>
            <w:pPr>
              <w:numPr>
                <w:ilvl w:val="1"/>
                <w:numId w:val="9"/>
              </w:numPr>
              <w:overflowPunct/>
              <w:autoSpaceDE/>
              <w:autoSpaceDN/>
              <w:adjustRightInd/>
              <w:spacing w:before="120" w:after="120" w:afterLines="50" w:line="280" w:lineRule="atLeast"/>
              <w:textAlignment w:val="auto"/>
              <w:rPr>
                <w:rFonts w:ascii="New York" w:hAnsi="New York"/>
                <w:sz w:val="21"/>
              </w:rPr>
            </w:pPr>
            <w:r>
              <w:rPr>
                <w:rFonts w:hint="eastAsia" w:ascii="New York" w:hAnsi="New York"/>
                <w:sz w:val="21"/>
              </w:rPr>
              <w:t>There are at least two possible approaches below to define the set of feature groups for a purpose.</w:t>
            </w:r>
          </w:p>
          <w:p>
            <w:pPr>
              <w:numPr>
                <w:ilvl w:val="2"/>
                <w:numId w:val="9"/>
              </w:numPr>
              <w:overflowPunct/>
              <w:autoSpaceDE/>
              <w:autoSpaceDN/>
              <w:adjustRightInd/>
              <w:spacing w:before="120" w:after="120" w:afterLines="50" w:line="280" w:lineRule="atLeast"/>
              <w:textAlignment w:val="auto"/>
              <w:rPr>
                <w:rFonts w:ascii="New York" w:hAnsi="New York"/>
                <w:sz w:val="21"/>
              </w:rPr>
            </w:pPr>
            <w:r>
              <w:rPr>
                <w:rFonts w:hint="eastAsia" w:ascii="New York" w:hAnsi="New York"/>
                <w:sz w:val="21"/>
              </w:rPr>
              <w:t xml:space="preserve">Approach 1: A basic feature group(s), which is a set of components that are viewed necessary to provide a minimum level of support for the feature. Defining a basic feature group(s) is not always possible or necessary for a given feature. </w:t>
            </w:r>
          </w:p>
          <w:p>
            <w:pPr>
              <w:numPr>
                <w:ilvl w:val="2"/>
                <w:numId w:val="9"/>
              </w:numPr>
              <w:overflowPunct/>
              <w:autoSpaceDE/>
              <w:autoSpaceDN/>
              <w:adjustRightInd/>
              <w:spacing w:before="120" w:after="120" w:afterLines="50" w:line="280" w:lineRule="atLeast"/>
              <w:textAlignment w:val="auto"/>
              <w:rPr>
                <w:rFonts w:ascii="New York" w:hAnsi="New York"/>
                <w:sz w:val="21"/>
              </w:rPr>
            </w:pPr>
            <w:r>
              <w:rPr>
                <w:rFonts w:hint="eastAsia" w:ascii="New York" w:hAnsi="New York"/>
                <w:sz w:val="21"/>
              </w:rPr>
              <w:t>Approach 2: A set(s) of feature groups necessary to be supported for the purpose is defined somewhere in specification(s).</w:t>
            </w:r>
          </w:p>
          <w:p>
            <w:pPr>
              <w:numPr>
                <w:ilvl w:val="1"/>
                <w:numId w:val="9"/>
              </w:numPr>
              <w:overflowPunct/>
              <w:autoSpaceDE/>
              <w:autoSpaceDN/>
              <w:adjustRightInd/>
              <w:spacing w:before="120" w:after="120" w:afterLines="50" w:line="280" w:lineRule="atLeast"/>
              <w:textAlignment w:val="auto"/>
              <w:rPr>
                <w:rFonts w:ascii="New York" w:hAnsi="New York"/>
                <w:sz w:val="21"/>
              </w:rPr>
            </w:pPr>
            <w:r>
              <w:rPr>
                <w:rFonts w:hint="eastAsia" w:ascii="New York" w:hAnsi="New York"/>
                <w:sz w:val="21"/>
              </w:rPr>
              <w:t>Each WG is responsible on whether/how to define the basic feature group(s) or the set(s) of feature groups, and it is possible to take different decision on approaches (including possibility to not define any basic feature group or set) for different purposes/features. It is preferable to take common approach across WGs for same feature/purpose.</w:t>
            </w:r>
          </w:p>
          <w:p>
            <w:pPr>
              <w:numPr>
                <w:ilvl w:val="2"/>
                <w:numId w:val="9"/>
              </w:numPr>
              <w:overflowPunct/>
              <w:autoSpaceDE/>
              <w:autoSpaceDN/>
              <w:adjustRightInd/>
              <w:spacing w:before="120" w:after="120" w:afterLines="50" w:line="280" w:lineRule="atLeast"/>
              <w:textAlignment w:val="auto"/>
              <w:rPr>
                <w:rFonts w:ascii="New York" w:hAnsi="New York"/>
                <w:sz w:val="21"/>
              </w:rPr>
            </w:pPr>
            <w:r>
              <w:rPr>
                <w:rFonts w:hint="eastAsia" w:ascii="New York" w:hAnsi="New York"/>
                <w:sz w:val="21"/>
              </w:rPr>
              <w:t>The Plenary guidance may be requested, if needed after WG discussions, on whether defining a set of feature groups based on Approach 2 for some feature, either in addition or instead of approach 1. There has been no conclusion in previous discussions, including RAN 87e, that it would be necessary.</w:t>
            </w:r>
          </w:p>
          <w:p>
            <w:pPr>
              <w:numPr>
                <w:ilvl w:val="1"/>
                <w:numId w:val="9"/>
              </w:numPr>
              <w:overflowPunct/>
              <w:autoSpaceDE/>
              <w:autoSpaceDN/>
              <w:adjustRightInd/>
              <w:spacing w:before="120" w:after="120" w:afterLines="50" w:line="280" w:lineRule="atLeast"/>
              <w:textAlignment w:val="auto"/>
              <w:rPr>
                <w:rFonts w:ascii="New York" w:hAnsi="New York"/>
                <w:sz w:val="21"/>
              </w:rPr>
            </w:pPr>
            <w:r>
              <w:rPr>
                <w:rFonts w:hint="eastAsia" w:ascii="New York" w:hAnsi="New York"/>
                <w:sz w:val="21"/>
              </w:rPr>
              <w:t>Irrespective of defining a set of feature groups for a purpose, capability bit(s) should be defined for each of feature groups independently.</w:t>
            </w:r>
          </w:p>
          <w:p>
            <w:pPr>
              <w:numPr>
                <w:ilvl w:val="0"/>
                <w:numId w:val="9"/>
              </w:numPr>
              <w:overflowPunct/>
              <w:autoSpaceDE/>
              <w:autoSpaceDN/>
              <w:adjustRightInd/>
              <w:spacing w:before="120" w:after="120" w:afterLines="50" w:line="280" w:lineRule="atLeast"/>
              <w:textAlignment w:val="auto"/>
              <w:rPr>
                <w:rFonts w:ascii="New York" w:hAnsi="New York"/>
                <w:sz w:val="21"/>
              </w:rPr>
            </w:pPr>
            <w:r>
              <w:rPr>
                <w:rFonts w:hint="eastAsia" w:ascii="New York" w:hAnsi="New York"/>
                <w:sz w:val="21"/>
              </w:rPr>
              <w:t>For each feature group (capability bit(s)) defined as “mandatory with capability signaling”, each WG should take either one of following approaches.</w:t>
            </w:r>
          </w:p>
          <w:p>
            <w:pPr>
              <w:numPr>
                <w:ilvl w:val="1"/>
                <w:numId w:val="9"/>
              </w:numPr>
              <w:overflowPunct/>
              <w:autoSpaceDE/>
              <w:autoSpaceDN/>
              <w:adjustRightInd/>
              <w:spacing w:before="120" w:after="120" w:afterLines="50" w:line="280" w:lineRule="atLeast"/>
              <w:textAlignment w:val="auto"/>
              <w:rPr>
                <w:rFonts w:ascii="New York" w:hAnsi="New York"/>
                <w:sz w:val="21"/>
              </w:rPr>
            </w:pPr>
            <w:r>
              <w:rPr>
                <w:rFonts w:hint="eastAsia" w:ascii="New York" w:hAnsi="New York"/>
                <w:sz w:val="21"/>
              </w:rPr>
              <w:t xml:space="preserve">Approach 1: default value should be defined in each WG for the case where UE does not report or the case before UE reports. </w:t>
            </w:r>
          </w:p>
          <w:p>
            <w:pPr>
              <w:numPr>
                <w:ilvl w:val="1"/>
                <w:numId w:val="9"/>
              </w:numPr>
              <w:overflowPunct/>
              <w:autoSpaceDE/>
              <w:autoSpaceDN/>
              <w:adjustRightInd/>
              <w:spacing w:before="120" w:after="120" w:afterLines="50" w:line="280" w:lineRule="atLeast"/>
              <w:textAlignment w:val="auto"/>
              <w:rPr>
                <w:rFonts w:ascii="New York" w:hAnsi="New York"/>
                <w:sz w:val="21"/>
              </w:rPr>
            </w:pPr>
            <w:r>
              <w:rPr>
                <w:rFonts w:hint="eastAsia" w:ascii="New York" w:hAnsi="New York"/>
                <w:sz w:val="21"/>
              </w:rPr>
              <w:t>Approach 2: the capability signaling is mandatory present so that UE must report.</w:t>
            </w:r>
          </w:p>
        </w:tc>
      </w:tr>
    </w:tbl>
    <w:p>
      <w:pPr>
        <w:rPr>
          <w:lang w:val="en-GB" w:eastAsia="zh-CN"/>
        </w:rPr>
      </w:pPr>
    </w:p>
    <w:p>
      <w:pPr>
        <w:rPr>
          <w:lang w:val="en-GB" w:eastAsia="zh-CN"/>
        </w:rPr>
      </w:pPr>
      <w:r>
        <w:rPr>
          <w:rFonts w:hint="eastAsia"/>
          <w:lang w:val="en-GB" w:eastAsia="zh-CN"/>
        </w:rPr>
        <w:t>A</w:t>
      </w:r>
      <w:r>
        <w:rPr>
          <w:lang w:val="en-GB" w:eastAsia="zh-CN"/>
        </w:rPr>
        <w:t>s shown above, two approaches have been identified to group feature groups/components together. Approach 1 is the ordinary way as we adopted in Rel-15 and Approach 2 is more like the ‘UE feature profile’.</w:t>
      </w:r>
    </w:p>
    <w:p>
      <w:pPr>
        <w:pStyle w:val="114"/>
        <w:numPr>
          <w:ilvl w:val="0"/>
          <w:numId w:val="10"/>
        </w:numPr>
        <w:rPr>
          <w:lang w:eastAsia="zh-CN"/>
        </w:rPr>
      </w:pPr>
      <w:r>
        <w:rPr>
          <w:lang w:eastAsia="zh-CN"/>
        </w:rPr>
        <w:t>Approach 1: A basic feature group(s), which is a set of components that are viewed necessary to provide a minimum level of support for the feature. Defining a basic feature group(s) is not always possible or necessary for a given feature.</w:t>
      </w:r>
    </w:p>
    <w:p>
      <w:pPr>
        <w:pStyle w:val="114"/>
        <w:numPr>
          <w:ilvl w:val="0"/>
          <w:numId w:val="10"/>
        </w:numPr>
        <w:rPr>
          <w:lang w:eastAsia="zh-CN"/>
        </w:rPr>
      </w:pPr>
      <w:r>
        <w:rPr>
          <w:lang w:eastAsia="zh-CN"/>
        </w:rPr>
        <w:t>Approach 2: A set(s) of feature groups necessary to be supported for the purpose is defined somewhere in specification(s).</w:t>
      </w:r>
    </w:p>
    <w:p>
      <w:pPr>
        <w:rPr>
          <w:lang w:val="en-GB" w:eastAsia="zh-CN"/>
        </w:rPr>
      </w:pPr>
      <w:r>
        <w:rPr>
          <w:rFonts w:hint="eastAsia"/>
          <w:lang w:val="en-GB" w:eastAsia="zh-CN"/>
        </w:rPr>
        <w:t>D</w:t>
      </w:r>
      <w:r>
        <w:rPr>
          <w:lang w:val="en-GB" w:eastAsia="zh-CN"/>
        </w:rPr>
        <w:t>uring Rel-16 initial UE feature discussion, Approach 1 is preferred. If companies couldn’t converge on the basic UE feature for certain WI, then companies could further discuss it via Approach 2 later.</w:t>
      </w:r>
    </w:p>
    <w:p>
      <w:pPr>
        <w:rPr>
          <w:i/>
          <w:lang w:val="en-GB" w:eastAsia="zh-CN"/>
        </w:rPr>
      </w:pPr>
      <w:r>
        <w:rPr>
          <w:b/>
          <w:i/>
          <w:lang w:val="en-GB" w:eastAsia="zh-CN"/>
        </w:rPr>
        <w:t>Proposal 1</w:t>
      </w:r>
      <w:r>
        <w:rPr>
          <w:i/>
          <w:lang w:val="en-GB" w:eastAsia="zh-CN"/>
        </w:rPr>
        <w:t xml:space="preserve">: During Rel-16 initial UE feature discussion, Approach 1 is adopted to define basic UE feature group(s) for WIs with consensus. </w:t>
      </w:r>
    </w:p>
    <w:p>
      <w:pPr>
        <w:rPr>
          <w:lang w:val="en-GB" w:eastAsia="zh-CN"/>
        </w:rPr>
      </w:pPr>
      <w:r>
        <w:rPr>
          <w:lang w:val="en-GB" w:eastAsia="zh-CN"/>
        </w:rPr>
        <w:t>According to the discussion in [2], the rapporteur made the following proposal for common principle.</w:t>
      </w:r>
    </w:p>
    <w:p>
      <w:pPr>
        <w:pStyle w:val="114"/>
        <w:numPr>
          <w:ilvl w:val="0"/>
          <w:numId w:val="11"/>
        </w:numPr>
        <w:spacing w:after="0"/>
        <w:jc w:val="left"/>
        <w:rPr>
          <w:rFonts w:eastAsia="MS Mincho"/>
          <w:szCs w:val="20"/>
          <w:lang w:val="en-US"/>
        </w:rPr>
      </w:pPr>
      <w:r>
        <w:rPr>
          <w:i/>
          <w:szCs w:val="20"/>
          <w:lang w:eastAsia="zh-CN"/>
        </w:rPr>
        <w:t xml:space="preserve"> </w:t>
      </w:r>
      <w:r>
        <w:rPr>
          <w:rFonts w:eastAsia="MS Mincho"/>
          <w:szCs w:val="20"/>
          <w:lang w:val="en-US"/>
        </w:rPr>
        <w:t>RAN1 should take followings into account as a common principle for UE features list in addition to RAN2 guidances in R1-2001513.</w:t>
      </w:r>
    </w:p>
    <w:p>
      <w:pPr>
        <w:pStyle w:val="114"/>
        <w:numPr>
          <w:ilvl w:val="1"/>
          <w:numId w:val="11"/>
        </w:numPr>
        <w:spacing w:after="0"/>
        <w:jc w:val="left"/>
        <w:rPr>
          <w:rFonts w:eastAsia="MS Mincho"/>
          <w:szCs w:val="20"/>
          <w:lang w:val="en-US"/>
        </w:rPr>
      </w:pPr>
      <w:r>
        <w:rPr>
          <w:rFonts w:eastAsia="MS Mincho"/>
          <w:szCs w:val="20"/>
          <w:lang w:val="en-US"/>
        </w:rPr>
        <w:t>The UE capability signaling reporting (i.e. support or not) for a feature group applies to all the components in the feature group, which means there should not be capability signaling reporting for individual component.</w:t>
      </w:r>
    </w:p>
    <w:p>
      <w:pPr>
        <w:spacing w:after="0"/>
        <w:ind w:left="420"/>
        <w:jc w:val="left"/>
        <w:rPr>
          <w:rFonts w:eastAsia="MS Mincho"/>
          <w:sz w:val="22"/>
        </w:rPr>
      </w:pPr>
    </w:p>
    <w:p>
      <w:pPr>
        <w:spacing w:after="120"/>
        <w:rPr>
          <w:lang w:val="en-GB" w:eastAsia="zh-CN"/>
        </w:rPr>
      </w:pPr>
      <w:r>
        <w:rPr>
          <w:lang w:val="en-GB" w:eastAsia="zh-CN"/>
        </w:rPr>
        <w:t>The above proposal should be the principle unless per-component signaling is clearly specified.   However, it is not clear whether all WIs follow this principle in [2].  It can be understood in some cases per-component signaling is necessary for UEs to choose among the maximum candidate values per component but there are components which are simply to indicate the "support or not" of a functionality.  However, it is not clear whether these components need individual per-component signaling.  To make things clearer to RAN2, basic components and optional components should be put in different FGs.   If per-component "support" signaling is needed, it is better to have a separate FG at least for optional components.</w:t>
      </w:r>
    </w:p>
    <w:p>
      <w:pPr>
        <w:spacing w:after="120"/>
        <w:rPr>
          <w:i/>
          <w:lang w:val="en-GB" w:eastAsia="zh-CN"/>
        </w:rPr>
      </w:pPr>
      <w:r>
        <w:rPr>
          <w:b/>
          <w:i/>
          <w:lang w:val="en-GB" w:eastAsia="zh-CN"/>
        </w:rPr>
        <w:t>Proposal 2</w:t>
      </w:r>
      <w:r>
        <w:rPr>
          <w:i/>
          <w:lang w:val="en-GB" w:eastAsia="zh-CN"/>
        </w:rPr>
        <w:t xml:space="preserve">: </w:t>
      </w:r>
      <w:r>
        <w:rPr>
          <w:rFonts w:eastAsia="MS Mincho"/>
          <w:i/>
        </w:rPr>
        <w:t>The UE capability signaling reporting (i.e. support or not) for a feature group applies to all the components in the feature group unless extra per-component signaling is clearly stated otherwise.</w:t>
      </w:r>
      <w:r>
        <w:rPr>
          <w:i/>
          <w:lang w:val="en-GB" w:eastAsia="zh-CN"/>
        </w:rPr>
        <w:t xml:space="preserve"> RAN1 aims to avoid per-component “support” signaling for Rel-16 UE features.</w:t>
      </w:r>
    </w:p>
    <w:p>
      <w:pPr>
        <w:pStyle w:val="3"/>
        <w:rPr>
          <w:lang w:eastAsia="zh-CN"/>
        </w:rPr>
      </w:pPr>
      <w:r>
        <w:rPr>
          <w:lang w:eastAsia="zh-CN"/>
        </w:rPr>
        <w:t>FDD/TDD and FR1/FR2 differentiation</w:t>
      </w:r>
    </w:p>
    <w:p>
      <w:pPr>
        <w:rPr>
          <w:lang w:val="en-GB" w:eastAsia="zh-CN"/>
        </w:rPr>
      </w:pPr>
      <w:r>
        <w:rPr>
          <w:lang w:val="en-GB" w:eastAsia="zh-CN"/>
        </w:rPr>
        <w:t>According to the discussion in [2], the rapporteur also made the following proposal.</w:t>
      </w:r>
    </w:p>
    <w:p>
      <w:pPr>
        <w:pStyle w:val="114"/>
        <w:numPr>
          <w:ilvl w:val="1"/>
          <w:numId w:val="11"/>
        </w:numPr>
        <w:jc w:val="left"/>
        <w:rPr>
          <w:rFonts w:eastAsia="MS Mincho"/>
          <w:szCs w:val="20"/>
          <w:lang w:val="en-US"/>
        </w:rPr>
      </w:pPr>
      <w:r>
        <w:rPr>
          <w:rFonts w:eastAsiaTheme="minorEastAsia"/>
          <w:szCs w:val="20"/>
          <w:lang w:val="en-US" w:eastAsia="zh-CN"/>
        </w:rPr>
        <w:t>“</w:t>
      </w:r>
      <w:r>
        <w:rPr>
          <w:rFonts w:hint="eastAsia" w:eastAsiaTheme="minorEastAsia"/>
          <w:szCs w:val="20"/>
          <w:lang w:val="en-US" w:eastAsia="zh-CN"/>
        </w:rPr>
        <w:t>Need of FDD/TDD differentiation</w:t>
      </w:r>
      <w:r>
        <w:rPr>
          <w:rFonts w:eastAsiaTheme="minorEastAsia"/>
          <w:szCs w:val="20"/>
          <w:lang w:val="en-US" w:eastAsia="zh-CN"/>
        </w:rPr>
        <w:t>” and “Need of FR1/FR2 differentiation” are applicable only to “per UE” feature group, and hence those should be “N/A” for all feature groups other than per UE feature group.</w:t>
      </w:r>
    </w:p>
    <w:p>
      <w:pPr>
        <w:rPr>
          <w:lang w:eastAsia="zh-CN"/>
        </w:rPr>
      </w:pPr>
      <w:r>
        <w:rPr>
          <w:lang w:eastAsia="zh-CN"/>
        </w:rPr>
        <w:t xml:space="preserve">Based on our understanding, in addition to “per UE” feature group, “Need of FDD/TDD differentiation” and “Need of FR1/FR2 differentiation” may also be applicable to other types of feature group in case of cross-carrier operation, e.g., “per band”, “per band of band combination” or “per CC per band per band combination”. </w:t>
      </w:r>
    </w:p>
    <w:p>
      <w:pPr>
        <w:rPr>
          <w:lang w:eastAsia="zh-CN"/>
        </w:rPr>
      </w:pPr>
      <w:r>
        <w:rPr>
          <w:rFonts w:hint="eastAsia"/>
          <w:lang w:eastAsia="zh-CN"/>
        </w:rPr>
        <w:t>T</w:t>
      </w:r>
      <w:r>
        <w:rPr>
          <w:lang w:eastAsia="zh-CN"/>
        </w:rPr>
        <w:t xml:space="preserve">ake the Rel-15 UE capability </w:t>
      </w:r>
      <w:r>
        <w:rPr>
          <w:i/>
          <w:lang w:eastAsia="zh-CN"/>
        </w:rPr>
        <w:t>aperiodicTRS</w:t>
      </w:r>
      <w:r>
        <w:rPr>
          <w:lang w:eastAsia="zh-CN"/>
        </w:rPr>
        <w:t xml:space="preserve"> as an example. UE capability </w:t>
      </w:r>
      <w:r>
        <w:rPr>
          <w:i/>
          <w:lang w:eastAsia="zh-CN"/>
        </w:rPr>
        <w:t>aperiodicTRS</w:t>
      </w:r>
      <w:r>
        <w:rPr>
          <w:lang w:eastAsia="zh-CN"/>
        </w:rPr>
        <w:t xml:space="preserve"> is a “per Band” signaling, which is to indicate the network whether the UE supports DCI triggering aperiodic TRS associated with periodic TRS. Without XDD/FRX differentiation, it is not clear how to interpret the UE capability. For example, if UE indicates support of </w:t>
      </w:r>
      <w:r>
        <w:rPr>
          <w:i/>
          <w:lang w:eastAsia="zh-CN"/>
        </w:rPr>
        <w:t>aperiodicTRS</w:t>
      </w:r>
      <w:r>
        <w:rPr>
          <w:lang w:eastAsia="zh-CN"/>
        </w:rPr>
        <w:t xml:space="preserve"> for Band A and not support of </w:t>
      </w:r>
      <w:r>
        <w:rPr>
          <w:i/>
          <w:lang w:eastAsia="zh-CN"/>
        </w:rPr>
        <w:t>aperiodicTRS</w:t>
      </w:r>
      <w:r>
        <w:rPr>
          <w:lang w:eastAsia="zh-CN"/>
        </w:rPr>
        <w:t xml:space="preserve"> for Band B. If UE needs to trigger A-TRS for Band B from Band A, it is not clear whether UE supports this kind of operation. XDD/FRX differentiation may be one way to clarify the UE behavior with these capabilities in case of cross-carrier operation.</w:t>
      </w:r>
    </w:p>
    <w:tbl>
      <w:tblPr>
        <w:tblStyle w:val="156"/>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6917" w:type="dxa"/>
            <w:tcBorders>
              <w:top w:val="single" w:color="808080" w:sz="4" w:space="0"/>
              <w:left w:val="single" w:color="808080" w:sz="4" w:space="0"/>
              <w:bottom w:val="single" w:color="808080" w:sz="4" w:space="0"/>
              <w:right w:val="single" w:color="808080" w:sz="4" w:space="0"/>
            </w:tcBorders>
          </w:tcPr>
          <w:p>
            <w:pPr>
              <w:pStyle w:val="63"/>
              <w:rPr>
                <w:rFonts w:eastAsia="Malgun Gothic"/>
                <w:lang w:eastAsia="zh-CN"/>
              </w:rPr>
            </w:pPr>
            <w:r>
              <w:rPr>
                <w:rFonts w:eastAsia="Times New Roman"/>
              </w:rPr>
              <w:t>Definitions for parameters</w:t>
            </w:r>
          </w:p>
        </w:tc>
        <w:tc>
          <w:tcPr>
            <w:tcW w:w="709" w:type="dxa"/>
            <w:tcBorders>
              <w:top w:val="single" w:color="808080" w:sz="4" w:space="0"/>
              <w:left w:val="nil"/>
              <w:bottom w:val="single" w:color="808080" w:sz="4" w:space="0"/>
              <w:right w:val="single" w:color="808080" w:sz="4" w:space="0"/>
            </w:tcBorders>
          </w:tcPr>
          <w:p>
            <w:pPr>
              <w:pStyle w:val="63"/>
              <w:rPr>
                <w:rFonts w:eastAsia="Times New Roman"/>
              </w:rPr>
            </w:pPr>
            <w:r>
              <w:rPr>
                <w:rFonts w:eastAsia="Times New Roman"/>
              </w:rPr>
              <w:t>Per</w:t>
            </w:r>
          </w:p>
        </w:tc>
        <w:tc>
          <w:tcPr>
            <w:tcW w:w="567" w:type="dxa"/>
            <w:tcBorders>
              <w:top w:val="single" w:color="808080" w:sz="4" w:space="0"/>
              <w:left w:val="nil"/>
              <w:bottom w:val="single" w:color="808080" w:sz="4" w:space="0"/>
              <w:right w:val="single" w:color="808080" w:sz="4" w:space="0"/>
            </w:tcBorders>
          </w:tcPr>
          <w:p>
            <w:pPr>
              <w:pStyle w:val="63"/>
              <w:rPr>
                <w:rFonts w:eastAsia="Times New Roman"/>
              </w:rPr>
            </w:pPr>
            <w:r>
              <w:rPr>
                <w:rFonts w:eastAsia="Times New Roman"/>
              </w:rPr>
              <w:t>M</w:t>
            </w:r>
          </w:p>
        </w:tc>
        <w:tc>
          <w:tcPr>
            <w:tcW w:w="709" w:type="dxa"/>
            <w:tcBorders>
              <w:top w:val="single" w:color="808080" w:sz="4" w:space="0"/>
              <w:left w:val="nil"/>
              <w:bottom w:val="single" w:color="808080" w:sz="4" w:space="0"/>
              <w:right w:val="single" w:color="808080" w:sz="4" w:space="0"/>
            </w:tcBorders>
          </w:tcPr>
          <w:p>
            <w:pPr>
              <w:pStyle w:val="63"/>
              <w:rPr>
                <w:rFonts w:eastAsia="Times New Roman"/>
              </w:rPr>
            </w:pPr>
            <w:r>
              <w:rPr>
                <w:rFonts w:eastAsia="Times New Roman"/>
              </w:rPr>
              <w:t>FDD-TDD</w:t>
            </w:r>
          </w:p>
          <w:p>
            <w:pPr>
              <w:pStyle w:val="63"/>
              <w:rPr>
                <w:rFonts w:eastAsia="Times New Roman"/>
              </w:rPr>
            </w:pPr>
            <w:r>
              <w:rPr>
                <w:rFonts w:eastAsia="Times New Roman"/>
              </w:rPr>
              <w:t>DIFF</w:t>
            </w:r>
          </w:p>
        </w:tc>
        <w:tc>
          <w:tcPr>
            <w:tcW w:w="728" w:type="dxa"/>
            <w:tcBorders>
              <w:top w:val="single" w:color="808080" w:sz="4" w:space="0"/>
              <w:left w:val="nil"/>
              <w:bottom w:val="single" w:color="808080" w:sz="4" w:space="0"/>
              <w:right w:val="single" w:color="808080" w:sz="4" w:space="0"/>
            </w:tcBorders>
          </w:tcPr>
          <w:p>
            <w:pPr>
              <w:pStyle w:val="63"/>
              <w:rPr>
                <w:rFonts w:eastAsia="Times New Roman"/>
              </w:rPr>
            </w:pPr>
            <w:r>
              <w:rPr>
                <w:rFonts w:eastAsia="Times New Roman"/>
              </w:rPr>
              <w:t>FR1-FR2</w:t>
            </w:r>
          </w:p>
          <w:p>
            <w:pPr>
              <w:pStyle w:val="63"/>
              <w:rPr>
                <w:rFonts w:eastAsia="Times New Roman"/>
              </w:rPr>
            </w:pPr>
            <w:r>
              <w:rPr>
                <w:rFonts w:eastAsia="Times New Roman"/>
              </w:rPr>
              <w:t>DIFF</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6917" w:type="dxa"/>
            <w:tcBorders>
              <w:top w:val="single" w:color="808080" w:sz="4" w:space="0"/>
              <w:left w:val="single" w:color="808080" w:sz="4" w:space="0"/>
              <w:bottom w:val="single" w:color="808080" w:sz="4" w:space="0"/>
              <w:right w:val="single" w:color="808080" w:sz="4" w:space="0"/>
            </w:tcBorders>
          </w:tcPr>
          <w:p>
            <w:pPr>
              <w:pStyle w:val="65"/>
              <w:rPr>
                <w:rFonts w:eastAsia="Times New Roman"/>
                <w:b/>
                <w:bCs/>
                <w:i/>
                <w:iCs/>
              </w:rPr>
            </w:pPr>
            <w:r>
              <w:rPr>
                <w:rFonts w:eastAsia="Times New Roman"/>
                <w:b/>
                <w:bCs/>
                <w:i/>
                <w:iCs/>
              </w:rPr>
              <w:t>aperiodicTRS</w:t>
            </w:r>
          </w:p>
          <w:p>
            <w:pPr>
              <w:pStyle w:val="65"/>
              <w:rPr>
                <w:rFonts w:eastAsia="Times New Roman"/>
              </w:rPr>
            </w:pPr>
            <w:r>
              <w:rPr>
                <w:rFonts w:eastAsia="Times New Roman" w:cs="Arial"/>
              </w:rPr>
              <w:t>Indicates whether the UE supports DCI triggering aperiodic TRS associated with periodic TRS.</w:t>
            </w:r>
          </w:p>
        </w:tc>
        <w:tc>
          <w:tcPr>
            <w:tcW w:w="709" w:type="dxa"/>
            <w:tcBorders>
              <w:top w:val="single" w:color="808080" w:sz="4" w:space="0"/>
              <w:left w:val="nil"/>
              <w:bottom w:val="single" w:color="808080" w:sz="4" w:space="0"/>
              <w:right w:val="single" w:color="808080" w:sz="4" w:space="0"/>
            </w:tcBorders>
          </w:tcPr>
          <w:p>
            <w:pPr>
              <w:pStyle w:val="65"/>
              <w:jc w:val="center"/>
              <w:rPr>
                <w:rFonts w:eastAsia="Times New Roman"/>
              </w:rPr>
            </w:pPr>
            <w:r>
              <w:rPr>
                <w:rFonts w:eastAsia="Times New Roman" w:cs="Arial"/>
              </w:rPr>
              <w:t>Band</w:t>
            </w:r>
          </w:p>
        </w:tc>
        <w:tc>
          <w:tcPr>
            <w:tcW w:w="567" w:type="dxa"/>
            <w:tcBorders>
              <w:top w:val="single" w:color="808080" w:sz="4" w:space="0"/>
              <w:left w:val="nil"/>
              <w:bottom w:val="single" w:color="808080" w:sz="4" w:space="0"/>
              <w:right w:val="single" w:color="808080" w:sz="4" w:space="0"/>
            </w:tcBorders>
          </w:tcPr>
          <w:p>
            <w:pPr>
              <w:pStyle w:val="65"/>
              <w:jc w:val="center"/>
              <w:rPr>
                <w:rFonts w:eastAsia="Times New Roman"/>
              </w:rPr>
            </w:pPr>
            <w:r>
              <w:rPr>
                <w:rFonts w:eastAsia="Times New Roman" w:cs="Arial"/>
              </w:rPr>
              <w:t>No</w:t>
            </w:r>
          </w:p>
        </w:tc>
        <w:tc>
          <w:tcPr>
            <w:tcW w:w="709" w:type="dxa"/>
            <w:tcBorders>
              <w:top w:val="single" w:color="808080" w:sz="4" w:space="0"/>
              <w:left w:val="nil"/>
              <w:bottom w:val="single" w:color="808080" w:sz="4" w:space="0"/>
              <w:right w:val="single" w:color="808080" w:sz="4" w:space="0"/>
            </w:tcBorders>
          </w:tcPr>
          <w:p>
            <w:pPr>
              <w:pStyle w:val="65"/>
              <w:jc w:val="center"/>
              <w:rPr>
                <w:rFonts w:eastAsia="Times New Roman"/>
              </w:rPr>
            </w:pPr>
            <w:r>
              <w:rPr>
                <w:rFonts w:eastAsia="Times New Roman" w:cs="Arial"/>
              </w:rPr>
              <w:t>No</w:t>
            </w:r>
          </w:p>
        </w:tc>
        <w:tc>
          <w:tcPr>
            <w:tcW w:w="728" w:type="dxa"/>
            <w:tcBorders>
              <w:top w:val="single" w:color="808080" w:sz="4" w:space="0"/>
              <w:left w:val="nil"/>
              <w:bottom w:val="single" w:color="808080" w:sz="4" w:space="0"/>
              <w:right w:val="single" w:color="808080" w:sz="4" w:space="0"/>
            </w:tcBorders>
          </w:tcPr>
          <w:p>
            <w:pPr>
              <w:pStyle w:val="65"/>
              <w:jc w:val="center"/>
              <w:rPr>
                <w:rFonts w:eastAsia="Times New Roman"/>
              </w:rPr>
            </w:pPr>
            <w:r>
              <w:rPr>
                <w:rFonts w:eastAsia="Times New Roman"/>
              </w:rPr>
              <w:t>Yes</w:t>
            </w:r>
          </w:p>
        </w:tc>
      </w:tr>
    </w:tbl>
    <w:p>
      <w:pPr>
        <w:rPr>
          <w:lang w:eastAsia="zh-CN"/>
        </w:rPr>
      </w:pPr>
    </w:p>
    <w:p>
      <w:pPr>
        <w:rPr>
          <w:lang w:eastAsia="zh-CN"/>
        </w:rPr>
      </w:pPr>
      <w:r>
        <w:rPr>
          <w:rFonts w:hint="eastAsia"/>
          <w:lang w:eastAsia="zh-CN"/>
        </w:rPr>
        <w:t>A</w:t>
      </w:r>
      <w:r>
        <w:rPr>
          <w:lang w:eastAsia="zh-CN"/>
        </w:rPr>
        <w:t xml:space="preserve">nother way to handle this issue is to clarify in the field description. For example, for </w:t>
      </w:r>
      <w:r>
        <w:rPr>
          <w:i/>
          <w:lang w:eastAsia="zh-CN"/>
        </w:rPr>
        <w:t xml:space="preserve">aperiodicTRS, </w:t>
      </w:r>
      <w:r>
        <w:rPr>
          <w:lang w:eastAsia="zh-CN"/>
        </w:rPr>
        <w:t>we could add one clarification in the field description like “In case of cross-carrier triggering, UE supports DCI triggering aperiodic TRS associated with periodic TRS as long as the UE supports it in the triggering cell”.</w:t>
      </w:r>
    </w:p>
    <w:p>
      <w:pPr>
        <w:rPr>
          <w:i/>
          <w:lang w:eastAsia="zh-CN"/>
        </w:rPr>
      </w:pPr>
      <w:r>
        <w:rPr>
          <w:rFonts w:hint="eastAsia"/>
          <w:b/>
          <w:i/>
          <w:lang w:eastAsia="zh-CN"/>
        </w:rPr>
        <w:t>P</w:t>
      </w:r>
      <w:r>
        <w:rPr>
          <w:b/>
          <w:i/>
          <w:lang w:eastAsia="zh-CN"/>
        </w:rPr>
        <w:t>roposal 3</w:t>
      </w:r>
      <w:r>
        <w:rPr>
          <w:i/>
          <w:lang w:eastAsia="zh-CN"/>
        </w:rPr>
        <w:t>: To clarify the interpretation of Rel-16 UE feature in case of cross-carrier operation, the following approaches can be considered:</w:t>
      </w:r>
    </w:p>
    <w:p>
      <w:pPr>
        <w:ind w:left="200" w:leftChars="100"/>
        <w:rPr>
          <w:i/>
          <w:lang w:eastAsia="zh-CN"/>
        </w:rPr>
      </w:pPr>
      <w:r>
        <w:rPr>
          <w:i/>
          <w:lang w:eastAsia="zh-CN"/>
        </w:rPr>
        <w:t>1. In addition to “per UE” feature group, “Need of FDD/TDD differentiation” and “Need of FR1/FR2 differentiation” may also be applicable to other types of feature group in case of cross-carrier operation, e.g., “per band”, “per band of band combination” or “per CC per band per band combination”.</w:t>
      </w:r>
    </w:p>
    <w:p>
      <w:pPr>
        <w:ind w:left="200" w:leftChars="100"/>
        <w:rPr>
          <w:i/>
          <w:lang w:eastAsia="zh-CN"/>
        </w:rPr>
      </w:pPr>
      <w:r>
        <w:rPr>
          <w:i/>
          <w:lang w:eastAsia="zh-CN"/>
        </w:rPr>
        <w:t>2. Add clarification in the field description to make it clear how to interpret the UE capability in case of cross-carrier operation.</w:t>
      </w:r>
    </w:p>
    <w:p>
      <w:pPr>
        <w:pStyle w:val="3"/>
        <w:rPr>
          <w:lang w:eastAsia="zh-CN"/>
        </w:rPr>
      </w:pPr>
      <w:r>
        <w:rPr>
          <w:lang w:eastAsia="zh-CN"/>
        </w:rPr>
        <w:t>Cross-WI issues</w:t>
      </w:r>
    </w:p>
    <w:p>
      <w:pPr>
        <w:spacing w:after="0"/>
        <w:rPr>
          <w:color w:val="000000"/>
          <w:shd w:val="clear" w:color="auto" w:fill="FFFFFF"/>
          <w:lang w:eastAsia="zh-CN"/>
        </w:rPr>
      </w:pPr>
      <w:r>
        <w:rPr>
          <w:rFonts w:hint="eastAsia"/>
          <w:lang w:eastAsia="zh-CN"/>
        </w:rPr>
        <w:t xml:space="preserve">In the WI for NR mobility enhancements, it has been agreed that the power control schemes of DAPS HO follow that of NR-DC by replacing </w:t>
      </w:r>
      <w:r>
        <w:rPr>
          <w:color w:val="000000"/>
          <w:shd w:val="clear" w:color="auto" w:fill="FFFFFF"/>
        </w:rPr>
        <w:t>the MCG with target MCG and SCG with source MCG as shown below</w:t>
      </w:r>
      <w:r>
        <w:rPr>
          <w:rFonts w:hint="eastAsia"/>
          <w:color w:val="000000"/>
          <w:shd w:val="clear" w:color="auto" w:fill="FFFFFF"/>
          <w:lang w:eastAsia="zh-CN"/>
        </w:rPr>
        <w:t xml:space="preserve">. </w:t>
      </w:r>
    </w:p>
    <w:tbl>
      <w:tblPr>
        <w:tblStyle w:val="5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pStyle w:val="47"/>
              <w:shd w:val="clear" w:color="auto" w:fill="FFFFFF"/>
              <w:spacing w:before="0" w:beforeAutospacing="0" w:after="0" w:afterAutospacing="0" w:line="240" w:lineRule="atLeast"/>
              <w:rPr>
                <w:rFonts w:ascii="New York" w:hAnsi="New York"/>
                <w:color w:val="000000"/>
                <w:sz w:val="20"/>
                <w:szCs w:val="20"/>
              </w:rPr>
            </w:pPr>
            <w:r>
              <w:rPr>
                <w:rFonts w:ascii="New York" w:hAnsi="New York"/>
                <w:color w:val="000000"/>
                <w:sz w:val="20"/>
                <w:szCs w:val="20"/>
                <w:shd w:val="clear" w:color="auto" w:fill="00FF00"/>
              </w:rPr>
              <w:t>Agreement:</w:t>
            </w:r>
          </w:p>
          <w:p>
            <w:pPr>
              <w:pStyle w:val="47"/>
              <w:shd w:val="clear" w:color="auto" w:fill="FFFFFF"/>
              <w:spacing w:before="0" w:beforeAutospacing="0" w:after="0" w:afterAutospacing="0" w:line="240" w:lineRule="atLeast"/>
              <w:rPr>
                <w:rFonts w:ascii="New York" w:hAnsi="New York"/>
                <w:lang w:val="en-GB" w:eastAsia="zh-CN"/>
              </w:rPr>
            </w:pPr>
            <w:r>
              <w:rPr>
                <w:rFonts w:ascii="New York" w:hAnsi="New York"/>
                <w:color w:val="000000"/>
                <w:sz w:val="20"/>
                <w:szCs w:val="20"/>
                <w:shd w:val="clear" w:color="auto" w:fill="FFFFFF"/>
              </w:rPr>
              <w:t>If a UE is configured with DAPS HO operation, the UE performs transmission power control based on Section 7.6.2 of 38.213 replacing the MCG with target MCG and SCG with source MCG.</w:t>
            </w:r>
          </w:p>
        </w:tc>
      </w:tr>
    </w:tbl>
    <w:p>
      <w:pPr>
        <w:spacing w:before="240"/>
        <w:rPr>
          <w:lang w:eastAsia="zh-CN"/>
        </w:rPr>
      </w:pPr>
      <w:r>
        <w:rPr>
          <w:rFonts w:hint="eastAsia"/>
          <w:color w:val="000000"/>
          <w:shd w:val="clear" w:color="auto" w:fill="FFFFFF"/>
          <w:lang w:eastAsia="zh-CN"/>
        </w:rPr>
        <w:t xml:space="preserve">From UE complexity perspective, there is no difference on the power control operation between NR-DC and DAPS HO. However, two separate UE capabilities are defined for NR-DC (FG 18-1/1a/1b) and DAPS HO (FG 21-2) according </w:t>
      </w:r>
      <w:r>
        <w:rPr>
          <w:rFonts w:hint="eastAsia"/>
          <w:color w:val="000000"/>
          <w:shd w:val="clear" w:color="auto" w:fill="FFFFFF"/>
          <w:lang w:val="en-US" w:eastAsia="zh-CN"/>
        </w:rPr>
        <w:t xml:space="preserve">to </w:t>
      </w:r>
      <w:bookmarkStart w:id="4" w:name="_GoBack"/>
      <w:bookmarkEnd w:id="4"/>
      <w:r>
        <w:rPr>
          <w:rFonts w:hint="eastAsia"/>
          <w:color w:val="000000"/>
          <w:shd w:val="clear" w:color="auto" w:fill="FFFFFF"/>
          <w:lang w:eastAsia="zh-CN"/>
        </w:rPr>
        <w:t xml:space="preserve">the latest UE feature in [2]. Given the power control schemes are first defined in NR-DC, we suggest deleting FG 12-2 defined for DAPS HO. Note that, intra-frequency NR-DC is not supported while intra-frequency DAPS HO is supported. But, RAN2 will find a way to further specify the signaling structure if only one capability is agreed in RAN1. </w:t>
      </w:r>
    </w:p>
    <w:p>
      <w:pPr>
        <w:spacing w:before="120" w:beforeLines="50"/>
        <w:rPr>
          <w:lang w:val="en-GB" w:eastAsia="zh-CN"/>
        </w:rPr>
      </w:pPr>
      <w:r>
        <w:rPr>
          <w:b/>
          <w:i/>
          <w:lang w:val="en-GB" w:eastAsia="zh-CN"/>
        </w:rPr>
        <w:t xml:space="preserve">Proposal </w:t>
      </w:r>
      <w:r>
        <w:rPr>
          <w:rFonts w:hint="eastAsia"/>
          <w:b/>
          <w:i/>
          <w:lang w:eastAsia="zh-CN"/>
        </w:rPr>
        <w:t>5</w:t>
      </w:r>
      <w:r>
        <w:rPr>
          <w:i/>
          <w:lang w:val="en-GB" w:eastAsia="zh-CN"/>
        </w:rPr>
        <w:t>: Delete feature</w:t>
      </w:r>
      <w:r>
        <w:rPr>
          <w:rFonts w:hint="eastAsia"/>
          <w:i/>
          <w:lang w:eastAsia="zh-CN"/>
        </w:rPr>
        <w:t xml:space="preserve"> group</w:t>
      </w:r>
      <w:r>
        <w:rPr>
          <w:i/>
          <w:lang w:val="en-GB" w:eastAsia="zh-CN"/>
        </w:rPr>
        <w:t xml:space="preserve"> </w:t>
      </w:r>
      <w:r>
        <w:rPr>
          <w:rFonts w:hint="eastAsia"/>
          <w:i/>
          <w:lang w:eastAsia="zh-CN"/>
        </w:rPr>
        <w:t>21</w:t>
      </w:r>
      <w:r>
        <w:rPr>
          <w:i/>
          <w:lang w:val="en-GB" w:eastAsia="zh-CN"/>
        </w:rPr>
        <w:t>-</w:t>
      </w:r>
      <w:r>
        <w:rPr>
          <w:rFonts w:hint="eastAsia"/>
          <w:i/>
          <w:lang w:eastAsia="zh-CN"/>
        </w:rPr>
        <w:t>2</w:t>
      </w:r>
      <w:r>
        <w:rPr>
          <w:i/>
          <w:lang w:val="en-GB" w:eastAsia="zh-CN"/>
        </w:rPr>
        <w:t xml:space="preserve"> due to the duplication with 18-</w:t>
      </w:r>
      <w:r>
        <w:rPr>
          <w:rFonts w:hint="eastAsia"/>
          <w:i/>
          <w:lang w:eastAsia="zh-CN"/>
        </w:rPr>
        <w:t>1</w:t>
      </w:r>
      <w:r>
        <w:rPr>
          <w:rFonts w:hint="eastAsia"/>
          <w:i/>
          <w:color w:val="000000"/>
          <w:shd w:val="clear" w:color="auto" w:fill="FFFFFF"/>
          <w:lang w:eastAsia="zh-CN"/>
        </w:rPr>
        <w:t>/1a/1b</w:t>
      </w:r>
      <w:r>
        <w:rPr>
          <w:i/>
          <w:lang w:val="en-GB" w:eastAsia="zh-CN"/>
        </w:rPr>
        <w:t>.</w:t>
      </w:r>
    </w:p>
    <w:p>
      <w:pPr>
        <w:pStyle w:val="2"/>
        <w:rPr>
          <w:lang w:eastAsia="zh-CN"/>
        </w:rPr>
      </w:pPr>
      <w:r>
        <w:rPr>
          <w:rFonts w:hint="eastAsia"/>
          <w:lang w:eastAsia="zh-CN"/>
        </w:rPr>
        <w:t>C</w:t>
      </w:r>
      <w:r>
        <w:rPr>
          <w:lang w:eastAsia="zh-CN"/>
        </w:rPr>
        <w:t>onclusion</w:t>
      </w:r>
    </w:p>
    <w:p>
      <w:pPr>
        <w:rPr>
          <w:lang w:val="en-GB" w:eastAsia="zh-CN"/>
        </w:rPr>
      </w:pPr>
      <w:r>
        <w:rPr>
          <w:lang w:val="en-GB" w:eastAsia="zh-CN"/>
        </w:rPr>
        <w:t>In this contribution, we provides our views on basic UE feature group, Rel-15 UE feature enhancement and cross-topic issues. The following proposals are proposed.</w:t>
      </w:r>
    </w:p>
    <w:p>
      <w:pPr>
        <w:rPr>
          <w:i/>
          <w:lang w:val="en-GB" w:eastAsia="zh-CN"/>
        </w:rPr>
      </w:pPr>
      <w:r>
        <w:rPr>
          <w:b/>
          <w:i/>
          <w:lang w:val="en-GB" w:eastAsia="zh-CN"/>
        </w:rPr>
        <w:t>Proposal 1</w:t>
      </w:r>
      <w:r>
        <w:rPr>
          <w:i/>
          <w:lang w:val="en-GB" w:eastAsia="zh-CN"/>
        </w:rPr>
        <w:t xml:space="preserve">: During Rel-16 initial UE feature discussion, Approach 1 is adopted to define basic UE feature group(s) for WIs with consensus. </w:t>
      </w:r>
    </w:p>
    <w:p>
      <w:pPr>
        <w:spacing w:after="120"/>
        <w:rPr>
          <w:rFonts w:eastAsia="MS Mincho"/>
          <w:i/>
        </w:rPr>
      </w:pPr>
      <w:r>
        <w:rPr>
          <w:rFonts w:hint="eastAsia"/>
          <w:b/>
          <w:i/>
          <w:lang w:val="en-GB" w:eastAsia="zh-CN"/>
        </w:rPr>
        <w:t>P</w:t>
      </w:r>
      <w:r>
        <w:rPr>
          <w:b/>
          <w:i/>
          <w:lang w:val="en-GB" w:eastAsia="zh-CN"/>
        </w:rPr>
        <w:t>roposal 2</w:t>
      </w:r>
      <w:r>
        <w:rPr>
          <w:i/>
          <w:lang w:val="en-GB" w:eastAsia="zh-CN"/>
        </w:rPr>
        <w:t xml:space="preserve">: </w:t>
      </w:r>
      <w:r>
        <w:rPr>
          <w:rFonts w:eastAsia="MS Mincho"/>
          <w:i/>
        </w:rPr>
        <w:t>The UE capability signaling reporting (i.e. support or not) for a feature group applies to all the components in the feature group unless extra per-component signaling is clearly stated otherwise.</w:t>
      </w:r>
      <w:r>
        <w:rPr>
          <w:i/>
          <w:lang w:val="en-GB" w:eastAsia="zh-CN"/>
        </w:rPr>
        <w:t xml:space="preserve"> RAN1 aims to avoid per-component “support” signaling for Rel-16 UE features.</w:t>
      </w:r>
    </w:p>
    <w:p>
      <w:pPr>
        <w:spacing w:before="240"/>
        <w:rPr>
          <w:i/>
          <w:lang w:eastAsia="zh-CN"/>
        </w:rPr>
      </w:pPr>
      <w:r>
        <w:rPr>
          <w:rFonts w:hint="eastAsia"/>
          <w:b/>
          <w:i/>
          <w:lang w:eastAsia="zh-CN"/>
        </w:rPr>
        <w:t>P</w:t>
      </w:r>
      <w:r>
        <w:rPr>
          <w:b/>
          <w:i/>
          <w:lang w:eastAsia="zh-CN"/>
        </w:rPr>
        <w:t>roposal 3</w:t>
      </w:r>
      <w:r>
        <w:rPr>
          <w:i/>
          <w:lang w:eastAsia="zh-CN"/>
        </w:rPr>
        <w:t>: To clarify the interpretation of Rel-16 UE feature in case of cross-carrier operation, the following approaches can be considered:</w:t>
      </w:r>
    </w:p>
    <w:p>
      <w:pPr>
        <w:ind w:left="200" w:leftChars="100"/>
        <w:rPr>
          <w:i/>
          <w:lang w:eastAsia="zh-CN"/>
        </w:rPr>
      </w:pPr>
      <w:r>
        <w:rPr>
          <w:i/>
          <w:lang w:eastAsia="zh-CN"/>
        </w:rPr>
        <w:t>1. In addition to “per UE” feature group, “Need of FDD/TDD differentiation” and “Need of FR1/FR2 differentiation” may also be applicable to other types of feature group in case of cross-carrier operation, e.g., “per band”, “per band of band combination” or “per CC per band per band combination”.</w:t>
      </w:r>
    </w:p>
    <w:p>
      <w:pPr>
        <w:ind w:left="200" w:leftChars="100"/>
        <w:rPr>
          <w:i/>
          <w:lang w:eastAsia="zh-CN"/>
        </w:rPr>
      </w:pPr>
      <w:r>
        <w:rPr>
          <w:i/>
          <w:lang w:eastAsia="zh-CN"/>
        </w:rPr>
        <w:t>2. Add clarification in the field description to make it clear how to interpret the UE capability in case of cross-carrier operation.</w:t>
      </w:r>
    </w:p>
    <w:p>
      <w:pPr>
        <w:spacing w:before="120" w:beforeLines="50"/>
        <w:rPr>
          <w:i/>
          <w:lang w:val="en-GB" w:eastAsia="zh-CN"/>
        </w:rPr>
      </w:pPr>
      <w:r>
        <w:rPr>
          <w:b/>
          <w:i/>
          <w:lang w:val="en-GB" w:eastAsia="zh-CN"/>
        </w:rPr>
        <w:t xml:space="preserve">Proposal </w:t>
      </w:r>
      <w:r>
        <w:rPr>
          <w:b/>
          <w:i/>
          <w:lang w:eastAsia="zh-CN"/>
        </w:rPr>
        <w:t>4</w:t>
      </w:r>
      <w:r>
        <w:rPr>
          <w:i/>
          <w:lang w:val="en-GB" w:eastAsia="zh-CN"/>
        </w:rPr>
        <w:t>: Delete feature</w:t>
      </w:r>
      <w:r>
        <w:rPr>
          <w:rFonts w:hint="eastAsia"/>
          <w:i/>
          <w:lang w:eastAsia="zh-CN"/>
        </w:rPr>
        <w:t xml:space="preserve"> group</w:t>
      </w:r>
      <w:r>
        <w:rPr>
          <w:i/>
          <w:lang w:val="en-GB" w:eastAsia="zh-CN"/>
        </w:rPr>
        <w:t xml:space="preserve"> </w:t>
      </w:r>
      <w:r>
        <w:rPr>
          <w:rFonts w:hint="eastAsia"/>
          <w:i/>
          <w:lang w:eastAsia="zh-CN"/>
        </w:rPr>
        <w:t>21</w:t>
      </w:r>
      <w:r>
        <w:rPr>
          <w:i/>
          <w:lang w:val="en-GB" w:eastAsia="zh-CN"/>
        </w:rPr>
        <w:t>-</w:t>
      </w:r>
      <w:r>
        <w:rPr>
          <w:rFonts w:hint="eastAsia"/>
          <w:i/>
          <w:lang w:eastAsia="zh-CN"/>
        </w:rPr>
        <w:t>2</w:t>
      </w:r>
      <w:r>
        <w:rPr>
          <w:i/>
          <w:lang w:val="en-GB" w:eastAsia="zh-CN"/>
        </w:rPr>
        <w:t xml:space="preserve"> due to the duplication with 18-</w:t>
      </w:r>
      <w:r>
        <w:rPr>
          <w:rFonts w:hint="eastAsia"/>
          <w:i/>
          <w:lang w:eastAsia="zh-CN"/>
        </w:rPr>
        <w:t>1</w:t>
      </w:r>
      <w:r>
        <w:rPr>
          <w:rFonts w:hint="eastAsia"/>
          <w:i/>
          <w:color w:val="000000"/>
          <w:shd w:val="clear" w:color="auto" w:fill="FFFFFF"/>
          <w:lang w:eastAsia="zh-CN"/>
        </w:rPr>
        <w:t>/1a/1b</w:t>
      </w:r>
      <w:r>
        <w:rPr>
          <w:i/>
          <w:lang w:val="en-GB" w:eastAsia="zh-CN"/>
        </w:rPr>
        <w:t>.</w:t>
      </w:r>
    </w:p>
    <w:p>
      <w:pPr>
        <w:pStyle w:val="2"/>
        <w:rPr>
          <w:lang w:eastAsia="zh-CN"/>
        </w:rPr>
      </w:pPr>
      <w:r>
        <w:rPr>
          <w:rFonts w:hint="eastAsia"/>
          <w:lang w:eastAsia="zh-CN"/>
        </w:rPr>
        <w:t>R</w:t>
      </w:r>
      <w:r>
        <w:rPr>
          <w:lang w:eastAsia="zh-CN"/>
        </w:rPr>
        <w:t>eference</w:t>
      </w:r>
    </w:p>
    <w:p>
      <w:pPr>
        <w:pStyle w:val="126"/>
        <w:rPr>
          <w:lang w:eastAsia="zh-CN"/>
        </w:rPr>
      </w:pPr>
      <w:bookmarkStart w:id="3" w:name="_Ref36651229"/>
      <w:r>
        <w:rPr>
          <w:lang w:eastAsia="zh-CN"/>
        </w:rPr>
        <w:t>RP-200502, Informational summary on email discussion: [Rel16_UE_capabilities] Exchange of views, RAN #87-e.</w:t>
      </w:r>
      <w:bookmarkEnd w:id="3"/>
    </w:p>
    <w:p>
      <w:pPr>
        <w:pStyle w:val="126"/>
        <w:rPr>
          <w:lang w:eastAsia="zh-CN"/>
        </w:rPr>
      </w:pPr>
      <w:r>
        <w:rPr>
          <w:rFonts w:hint="eastAsia"/>
          <w:lang w:eastAsia="zh-CN"/>
        </w:rPr>
        <w:t xml:space="preserve">R1-2001484, </w:t>
      </w:r>
      <w:r>
        <w:rPr>
          <w:lang w:eastAsia="zh-CN"/>
        </w:rPr>
        <w:t>RAN1 UE features list for Rel-16 NR after RAN1#100-E, AT&amp;T, NTT DOCOMO, INC</w:t>
      </w:r>
    </w:p>
    <w:p>
      <w:pPr>
        <w:pStyle w:val="126"/>
        <w:numPr>
          <w:ilvl w:val="0"/>
          <w:numId w:val="0"/>
        </w:numPr>
        <w:ind w:left="360"/>
        <w:rPr>
          <w:lang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Yu Gothic">
    <w:panose1 w:val="020B0400000000000000"/>
    <w:charset w:val="80"/>
    <w:family w:val="swiss"/>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pPr>
    <w:r>
      <w:rPr>
        <w:rStyle w:val="52"/>
      </w:rPr>
      <w:fldChar w:fldCharType="begin"/>
    </w:r>
    <w:r>
      <w:rPr>
        <w:rStyle w:val="52"/>
      </w:rPr>
      <w:instrText xml:space="preserve"> PAGE </w:instrText>
    </w:r>
    <w:r>
      <w:rPr>
        <w:rStyle w:val="52"/>
      </w:rPr>
      <w:fldChar w:fldCharType="separate"/>
    </w:r>
    <w:r>
      <w:rPr>
        <w:rStyle w:val="52"/>
      </w:rPr>
      <w:t>3</w:t>
    </w:r>
    <w:r>
      <w:rPr>
        <w:rStyle w:val="52"/>
      </w:rPr>
      <w:fldChar w:fldCharType="end"/>
    </w:r>
    <w:r>
      <w:rPr>
        <w:rStyle w:val="52"/>
      </w:rPr>
      <w:t>/</w:t>
    </w:r>
    <w:r>
      <w:rPr>
        <w:rStyle w:val="52"/>
      </w:rPr>
      <w:fldChar w:fldCharType="begin"/>
    </w:r>
    <w:r>
      <w:rPr>
        <w:rStyle w:val="52"/>
      </w:rPr>
      <w:instrText xml:space="preserve"> NUMPAGES </w:instrText>
    </w:r>
    <w:r>
      <w:rPr>
        <w:rStyle w:val="52"/>
      </w:rPr>
      <w:fldChar w:fldCharType="separate"/>
    </w:r>
    <w:r>
      <w:rPr>
        <w:rStyle w:val="52"/>
      </w:rPr>
      <w:t>4</w:t>
    </w:r>
    <w:r>
      <w:rPr>
        <w:rStyle w:val="5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2"/>
      </w:rPr>
    </w:pPr>
    <w:r>
      <w:rPr>
        <w:rStyle w:val="52"/>
      </w:rPr>
      <w:fldChar w:fldCharType="begin"/>
    </w:r>
    <w:r>
      <w:rPr>
        <w:rStyle w:val="52"/>
      </w:rPr>
      <w:instrText xml:space="preserve">PAGE  </w:instrText>
    </w:r>
    <w:r>
      <w:rPr>
        <w:rStyle w:val="52"/>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A69F8"/>
    <w:multiLevelType w:val="multilevel"/>
    <w:tmpl w:val="069A69F8"/>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1">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3">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5">
    <w:nsid w:val="534257F5"/>
    <w:multiLevelType w:val="multilevel"/>
    <w:tmpl w:val="534257F5"/>
    <w:lvl w:ilvl="0" w:tentative="0">
      <w:start w:val="5"/>
      <w:numFmt w:val="bullet"/>
      <w:lvlText w:val="-"/>
      <w:lvlJc w:val="left"/>
      <w:pPr>
        <w:ind w:left="360" w:hanging="360"/>
      </w:pPr>
      <w:rPr>
        <w:rFonts w:hint="eastAsia" w:ascii="Yu Gothic" w:hAnsi="Yu Gothic" w:eastAsia="Yu Gothic"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5B7E38D7"/>
    <w:multiLevelType w:val="multilevel"/>
    <w:tmpl w:val="5B7E38D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8"/>
  </w:num>
  <w:num w:numId="4">
    <w:abstractNumId w:val="4"/>
  </w:num>
  <w:num w:numId="5">
    <w:abstractNumId w:val="10"/>
  </w:num>
  <w:num w:numId="6">
    <w:abstractNumId w:val="7"/>
  </w:num>
  <w:num w:numId="7">
    <w:abstractNumId w:val="3"/>
  </w:num>
  <w:num w:numId="8">
    <w:abstractNumId w:val="9"/>
  </w:num>
  <w:num w:numId="9">
    <w:abstractNumId w:val="5"/>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67D4C1C"/>
    <w:rsid w:val="06B127E5"/>
    <w:rsid w:val="072F2729"/>
    <w:rsid w:val="07C21FA9"/>
    <w:rsid w:val="0957797D"/>
    <w:rsid w:val="0972706B"/>
    <w:rsid w:val="09C21BB6"/>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40CD5"/>
    <w:rsid w:val="18BA7603"/>
    <w:rsid w:val="18FD3F86"/>
    <w:rsid w:val="192B740B"/>
    <w:rsid w:val="19497C62"/>
    <w:rsid w:val="1A514204"/>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A113F"/>
    <w:rsid w:val="3A135075"/>
    <w:rsid w:val="3A8424B5"/>
    <w:rsid w:val="3AB31D0C"/>
    <w:rsid w:val="3B4A3B53"/>
    <w:rsid w:val="3BF47021"/>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6938E0"/>
    <w:rsid w:val="49882B35"/>
    <w:rsid w:val="4B3872E6"/>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5507243"/>
    <w:rsid w:val="65576B9C"/>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6F4F23"/>
    <w:rsid w:val="78156E78"/>
    <w:rsid w:val="782D5EAF"/>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0">
    <w:name w:val="Default Paragraph Font"/>
    <w:semiHidden/>
    <w:unhideWhenUsed/>
    <w:uiPriority w:val="1"/>
  </w:style>
  <w:style w:type="table" w:default="1" w:styleId="5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8"/>
    <w:qFormat/>
    <w:uiPriority w:val="0"/>
    <w:rPr>
      <w:lang w:eastAsia="zh-CN"/>
    </w:r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30"/>
    <w:qFormat/>
    <w:uiPriority w:val="0"/>
    <w:pPr>
      <w:spacing w:before="120" w:after="360"/>
      <w:jc w:val="center"/>
    </w:pPr>
    <w:rPr>
      <w:bCs/>
      <w:i/>
    </w:rPr>
  </w:style>
  <w:style w:type="paragraph" w:styleId="31">
    <w:name w:val="Document Map"/>
    <w:basedOn w:val="1"/>
    <w:semiHidden/>
    <w:qFormat/>
    <w:uiPriority w:val="0"/>
    <w:pPr>
      <w:shd w:val="clear" w:color="auto" w:fill="000080"/>
    </w:pPr>
    <w:rPr>
      <w:rFonts w:ascii="Tahoma" w:hAnsi="Tahoma"/>
    </w:rPr>
  </w:style>
  <w:style w:type="paragraph" w:styleId="32">
    <w:name w:val="Body Text 3"/>
    <w:basedOn w:val="1"/>
    <w:qFormat/>
    <w:uiPriority w:val="0"/>
    <w:rPr>
      <w:i/>
    </w:rPr>
  </w:style>
  <w:style w:type="paragraph" w:styleId="33">
    <w:name w:val="Body Text"/>
    <w:basedOn w:val="1"/>
    <w:link w:val="128"/>
    <w:qFormat/>
    <w:uiPriority w:val="0"/>
    <w:pPr>
      <w:spacing w:after="120"/>
    </w:pPr>
    <w:rPr>
      <w:sz w:val="22"/>
      <w:szCs w:val="24"/>
    </w:rPr>
  </w:style>
  <w:style w:type="paragraph" w:styleId="34">
    <w:name w:val="Body Text Indent"/>
    <w:basedOn w:val="1"/>
    <w:qFormat/>
    <w:uiPriority w:val="0"/>
    <w:pPr>
      <w:spacing w:before="240" w:line="240" w:lineRule="exact"/>
      <w:ind w:firstLine="960" w:firstLineChars="400"/>
    </w:pPr>
    <w:rPr>
      <w:rFonts w:eastAsia="楷体_GB2312"/>
      <w:sz w:val="24"/>
    </w:rPr>
  </w:style>
  <w:style w:type="paragraph" w:styleId="35">
    <w:name w:val="List Bullet 5"/>
    <w:basedOn w:val="26"/>
    <w:qFormat/>
    <w:uiPriority w:val="0"/>
    <w:pPr>
      <w:ind w:left="1702"/>
    </w:pPr>
  </w:style>
  <w:style w:type="paragraph" w:styleId="36">
    <w:name w:val="toc 8"/>
    <w:basedOn w:val="23"/>
    <w:next w:val="1"/>
    <w:semiHidden/>
    <w:qFormat/>
    <w:uiPriority w:val="0"/>
    <w:pPr>
      <w:spacing w:before="180"/>
      <w:ind w:left="2693" w:hanging="2693"/>
    </w:pPr>
    <w:rPr>
      <w:b/>
    </w:rPr>
  </w:style>
  <w:style w:type="paragraph" w:styleId="37">
    <w:name w:val="Balloon Text"/>
    <w:basedOn w:val="1"/>
    <w:semiHidden/>
    <w:qFormat/>
    <w:uiPriority w:val="0"/>
    <w:rPr>
      <w:rFonts w:ascii="Tahoma" w:hAnsi="Tahoma" w:cs="Tahoma"/>
      <w:sz w:val="16"/>
      <w:szCs w:val="16"/>
    </w:rPr>
  </w:style>
  <w:style w:type="paragraph" w:styleId="38">
    <w:name w:val="footer"/>
    <w:basedOn w:val="39"/>
    <w:link w:val="127"/>
    <w:qFormat/>
    <w:uiPriority w:val="99"/>
    <w:pPr>
      <w:jc w:val="center"/>
    </w:pPr>
    <w:rPr>
      <w:i/>
    </w:rPr>
  </w:style>
  <w:style w:type="paragraph" w:styleId="39">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40">
    <w:name w:val="Subtitle"/>
    <w:basedOn w:val="1"/>
    <w:next w:val="1"/>
    <w:link w:val="116"/>
    <w:qFormat/>
    <w:uiPriority w:val="0"/>
    <w:pPr>
      <w:spacing w:after="60"/>
      <w:jc w:val="center"/>
      <w:outlineLvl w:val="1"/>
    </w:pPr>
    <w:rPr>
      <w:rFonts w:ascii="Cambria" w:hAnsi="Cambria"/>
      <w:sz w:val="24"/>
      <w:szCs w:val="24"/>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1"/>
    <w:next w:val="1"/>
    <w:unhideWhenUsed/>
    <w:qFormat/>
    <w:uiPriority w:val="99"/>
    <w:pPr>
      <w:spacing w:before="120" w:after="120"/>
    </w:pPr>
  </w:style>
  <w:style w:type="paragraph" w:styleId="45">
    <w:name w:val="toc 9"/>
    <w:basedOn w:val="36"/>
    <w:next w:val="1"/>
    <w:semiHidden/>
    <w:qFormat/>
    <w:uiPriority w:val="0"/>
    <w:pPr>
      <w:ind w:left="1418" w:hanging="1418"/>
    </w:pPr>
  </w:style>
  <w:style w:type="paragraph" w:styleId="46">
    <w:name w:val="Body Text 2"/>
    <w:basedOn w:val="1"/>
    <w:qFormat/>
    <w:uiPriority w:val="0"/>
    <w:pPr>
      <w:tabs>
        <w:tab w:val="left" w:pos="1985"/>
      </w:tabs>
      <w:spacing w:after="0"/>
    </w:pPr>
    <w:rPr>
      <w:rFonts w:ascii="Arial" w:hAnsi="Arial"/>
      <w:sz w:val="22"/>
    </w:rPr>
  </w:style>
  <w:style w:type="paragraph" w:styleId="47">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character" w:styleId="51">
    <w:name w:val="Strong"/>
    <w:basedOn w:val="50"/>
    <w:qFormat/>
    <w:uiPriority w:val="0"/>
    <w:rPr>
      <w:b/>
      <w:bCs/>
    </w:rPr>
  </w:style>
  <w:style w:type="character" w:styleId="52">
    <w:name w:val="page number"/>
    <w:basedOn w:val="50"/>
    <w:qFormat/>
    <w:uiPriority w:val="0"/>
  </w:style>
  <w:style w:type="character" w:styleId="53">
    <w:name w:val="FollowedHyperlink"/>
    <w:basedOn w:val="50"/>
    <w:semiHidden/>
    <w:unhideWhenUsed/>
    <w:qFormat/>
    <w:uiPriority w:val="0"/>
    <w:rPr>
      <w:color w:val="954F72" w:themeColor="followedHyperlink"/>
      <w:u w:val="single"/>
      <w14:textFill>
        <w14:solidFill>
          <w14:schemeClr w14:val="folHlink"/>
        </w14:solidFill>
      </w14:textFill>
    </w:rPr>
  </w:style>
  <w:style w:type="character" w:styleId="54">
    <w:name w:val="Emphasis"/>
    <w:basedOn w:val="50"/>
    <w:qFormat/>
    <w:uiPriority w:val="0"/>
    <w:rPr>
      <w:i/>
      <w:iCs/>
    </w:rPr>
  </w:style>
  <w:style w:type="character" w:styleId="55">
    <w:name w:val="Hyperlink"/>
    <w:qFormat/>
    <w:uiPriority w:val="99"/>
    <w:rPr>
      <w:color w:val="0000FF"/>
      <w:u w:val="single"/>
    </w:rPr>
  </w:style>
  <w:style w:type="character" w:styleId="56">
    <w:name w:val="annotation reference"/>
    <w:qFormat/>
    <w:uiPriority w:val="0"/>
    <w:rPr>
      <w:sz w:val="16"/>
      <w:szCs w:val="16"/>
    </w:rPr>
  </w:style>
  <w:style w:type="character" w:styleId="57">
    <w:name w:val="footnote reference"/>
    <w:semiHidden/>
    <w:qFormat/>
    <w:uiPriority w:val="0"/>
    <w:rPr>
      <w:b/>
      <w:position w:val="6"/>
      <w:sz w:val="16"/>
    </w:rPr>
  </w:style>
  <w:style w:type="table" w:styleId="59">
    <w:name w:val="Table Grid"/>
    <w:basedOn w:val="58"/>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3"/>
    <w:qFormat/>
    <w:uiPriority w:val="0"/>
    <w:pPr>
      <w:ind w:left="1134" w:firstLine="0"/>
    </w:pPr>
  </w:style>
  <w:style w:type="paragraph" w:customStyle="1" w:styleId="91">
    <w:name w:val="B5"/>
    <w:basedOn w:val="42"/>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Heading 1 Char1"/>
    <w:link w:val="2"/>
    <w:qFormat/>
    <w:uiPriority w:val="0"/>
    <w:rPr>
      <w:rFonts w:ascii="Arial" w:hAnsi="Arial"/>
      <w:sz w:val="36"/>
      <w:lang w:val="en-GB" w:eastAsia="en-US"/>
    </w:rPr>
  </w:style>
  <w:style w:type="character" w:customStyle="1" w:styleId="105">
    <w:name w:val="Heading 2 Char"/>
    <w:link w:val="3"/>
    <w:qFormat/>
    <w:uiPriority w:val="0"/>
    <w:rPr>
      <w:rFonts w:ascii="Arial" w:hAnsi="Arial"/>
      <w:sz w:val="32"/>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Subtitle Char"/>
    <w:link w:val="40"/>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Comment Text Char"/>
    <w:link w:val="16"/>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List Paragraph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Footer Char"/>
    <w:basedOn w:val="50"/>
    <w:link w:val="38"/>
    <w:qFormat/>
    <w:uiPriority w:val="99"/>
    <w:rPr>
      <w:rFonts w:ascii="Arial" w:hAnsi="Arial"/>
      <w:b/>
      <w:i/>
      <w:sz w:val="18"/>
      <w:lang w:eastAsia="en-US"/>
    </w:rPr>
  </w:style>
  <w:style w:type="character" w:customStyle="1" w:styleId="128">
    <w:name w:val="Body Text Char"/>
    <w:basedOn w:val="50"/>
    <w:link w:val="33"/>
    <w:qFormat/>
    <w:uiPriority w:val="0"/>
    <w:rPr>
      <w:sz w:val="22"/>
      <w:szCs w:val="24"/>
      <w:lang w:eastAsia="en-US"/>
    </w:rPr>
  </w:style>
  <w:style w:type="table" w:customStyle="1" w:styleId="129">
    <w:name w:val="网格表 4 - 着色 11"/>
    <w:basedOn w:val="58"/>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Caption Char"/>
    <w:link w:val="30"/>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0"/>
    <w:link w:val="131"/>
    <w:qFormat/>
    <w:uiPriority w:val="0"/>
    <w:rPr>
      <w:rFonts w:eastAsia="MS Mincho"/>
      <w:i/>
      <w:lang w:eastAsia="ja-JP"/>
    </w:rPr>
  </w:style>
  <w:style w:type="character" w:customStyle="1" w:styleId="133">
    <w:name w:val="NO Char"/>
    <w:basedOn w:val="50"/>
    <w:link w:val="68"/>
    <w:qFormat/>
    <w:locked/>
    <w:uiPriority w:val="0"/>
    <w:rPr>
      <w:rFonts w:ascii="Times New Roman" w:hAnsi="Times New Roman"/>
      <w:lang w:eastAsia="en-US"/>
    </w:rPr>
  </w:style>
  <w:style w:type="character" w:customStyle="1" w:styleId="134">
    <w:name w:val="B1 Char1"/>
    <w:basedOn w:val="50"/>
    <w:link w:val="87"/>
    <w:qFormat/>
    <w:locked/>
    <w:uiPriority w:val="0"/>
    <w:rPr>
      <w:lang w:eastAsia="en-US"/>
    </w:rPr>
  </w:style>
  <w:style w:type="character" w:customStyle="1" w:styleId="135">
    <w:name w:val="B2 Char"/>
    <w:basedOn w:val="50"/>
    <w:link w:val="88"/>
    <w:qFormat/>
    <w:locked/>
    <w:uiPriority w:val="0"/>
    <w:rPr>
      <w:lang w:eastAsia="en-US"/>
    </w:rPr>
  </w:style>
  <w:style w:type="character" w:customStyle="1" w:styleId="136">
    <w:name w:val="明显强调1"/>
    <w:basedOn w:val="50"/>
    <w:qFormat/>
    <w:uiPriority w:val="21"/>
    <w:rPr>
      <w:i/>
      <w:iCs/>
      <w:color w:val="5B9BD5" w:themeColor="accent1"/>
      <w14:textFill>
        <w14:solidFill>
          <w14:schemeClr w14:val="accent1"/>
        </w14:solidFill>
      </w14:textFill>
    </w:rPr>
  </w:style>
  <w:style w:type="character" w:customStyle="1" w:styleId="137">
    <w:name w:val="不明显强调1"/>
    <w:basedOn w:val="50"/>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0"/>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8"/>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8"/>
    <w:semiHidden/>
    <w:qFormat/>
    <w:uiPriority w:val="0"/>
    <w:rPr>
      <w:rFonts w:eastAsia="CG Times (WN)"/>
    </w:rPr>
  </w:style>
  <w:style w:type="character" w:customStyle="1" w:styleId="146">
    <w:name w:val="Subtle Emphasis1"/>
    <w:basedOn w:val="50"/>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0"/>
    <w:qFormat/>
    <w:uiPriority w:val="21"/>
    <w:rPr>
      <w:i/>
      <w:iCs/>
      <w:color w:val="5B9BD5" w:themeColor="accent1"/>
      <w14:textFill>
        <w14:solidFill>
          <w14:schemeClr w14:val="accent1"/>
        </w14:solidFill>
      </w14:textFill>
    </w:rPr>
  </w:style>
  <w:style w:type="character" w:customStyle="1" w:styleId="148">
    <w:name w:val="Subtle Reference1"/>
    <w:basedOn w:val="50"/>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0"/>
    <w:qFormat/>
    <w:uiPriority w:val="33"/>
    <w:rPr>
      <w:b/>
      <w:bCs/>
      <w:i/>
      <w:iCs/>
      <w:spacing w:val="5"/>
    </w:rPr>
  </w:style>
  <w:style w:type="character" w:customStyle="1" w:styleId="150">
    <w:name w:val="apple-converted-space"/>
    <w:basedOn w:val="50"/>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0"/>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Layout w:type="fixed"/>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74CBA7-3E5C-4EA1-B141-04D37969B3E0}">
  <ds:schemaRefs/>
</ds:datastoreItem>
</file>

<file path=customXml/itemProps3.xml><?xml version="1.0" encoding="utf-8"?>
<ds:datastoreItem xmlns:ds="http://schemas.openxmlformats.org/officeDocument/2006/customXml" ds:itemID="{9C2FF60E-EDDE-47F2-966E-A40547D413B7}">
  <ds:schemaRefs/>
</ds:datastoreItem>
</file>

<file path=customXml/itemProps4.xml><?xml version="1.0" encoding="utf-8"?>
<ds:datastoreItem xmlns:ds="http://schemas.openxmlformats.org/officeDocument/2006/customXml" ds:itemID="{DE437376-A7B6-47B7-A9FE-9D6C62534131}">
  <ds:schemaRefs/>
</ds:datastoreItem>
</file>

<file path=customXml/itemProps5.xml><?xml version="1.0" encoding="utf-8"?>
<ds:datastoreItem xmlns:ds="http://schemas.openxmlformats.org/officeDocument/2006/customXml" ds:itemID="{04BF5348-08CE-46A2-B6C7-D667930F0DC1}">
  <ds:schemaRefs/>
</ds:datastoreItem>
</file>

<file path=customXml/itemProps6.xml><?xml version="1.0" encoding="utf-8"?>
<ds:datastoreItem xmlns:ds="http://schemas.openxmlformats.org/officeDocument/2006/customXml" ds:itemID="{4F156B33-FE54-4BF7-8206-606715473FFD}">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4</Pages>
  <Words>1545</Words>
  <Characters>8809</Characters>
  <Lines>73</Lines>
  <Paragraphs>20</Paragraphs>
  <TotalTime>32</TotalTime>
  <ScaleCrop>false</ScaleCrop>
  <LinksUpToDate>false</LinksUpToDate>
  <CharactersWithSpaces>10334</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2020-04-10T11:34:00Z</dcterms:created>
  <dc:creator>ZTE Corporation</dc:creator>
  <cp:lastModifiedBy>ZTE</cp:lastModifiedBy>
  <cp:lastPrinted>2018-04-07T03:05:00Z</cp:lastPrinted>
  <dcterms:modified xsi:type="dcterms:W3CDTF">2020-04-11T04:57:47Z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